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D8" w:rsidRPr="005D3553" w:rsidRDefault="005D3553" w:rsidP="00EF0DF6">
      <w:pPr>
        <w:widowControl/>
        <w:jc w:val="center"/>
        <w:rPr>
          <w:rFonts w:ascii="Arial" w:eastAsia="新細明體" w:hAnsi="Arial" w:cs="Arial"/>
          <w:noProof/>
          <w:color w:val="FFFFFF"/>
          <w:kern w:val="0"/>
          <w:sz w:val="17"/>
          <w:szCs w:val="17"/>
        </w:rPr>
      </w:pPr>
      <w:r w:rsidRPr="005D3553">
        <w:rPr>
          <w:rFonts w:ascii="Arial" w:eastAsia="新細明體" w:hAnsi="Arial" w:cs="Arial"/>
          <w:noProof/>
          <w:color w:val="FFFFFF"/>
          <w:kern w:val="0"/>
          <w:sz w:val="17"/>
          <w:szCs w:val="17"/>
        </w:rPr>
        <w:drawing>
          <wp:inline distT="0" distB="0" distL="0" distR="0">
            <wp:extent cx="3957638" cy="2227392"/>
            <wp:effectExtent l="19050" t="0" r="4762" b="0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553" w:rsidRDefault="005D3553" w:rsidP="00671861">
      <w:pPr>
        <w:pStyle w:val="5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4"/>
        </w:rPr>
      </w:pPr>
    </w:p>
    <w:p w:rsidR="005D3553" w:rsidRDefault="005D3553" w:rsidP="00671861">
      <w:pPr>
        <w:pStyle w:val="5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4"/>
        </w:rPr>
      </w:pPr>
    </w:p>
    <w:p w:rsidR="005D3553" w:rsidRDefault="005D3553" w:rsidP="00671861">
      <w:pPr>
        <w:pStyle w:val="5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4"/>
        </w:rPr>
      </w:pPr>
    </w:p>
    <w:p w:rsidR="00BB24D8" w:rsidRPr="00EF0DF6" w:rsidRDefault="001D3046" w:rsidP="00671861">
      <w:pPr>
        <w:pStyle w:val="5"/>
        <w:spacing w:before="0" w:beforeAutospacing="0" w:after="0" w:afterAutospacing="0"/>
        <w:rPr>
          <w:rFonts w:ascii="Arial" w:hAnsi="Arial" w:cs="Arial"/>
          <w:bCs w:val="0"/>
          <w:color w:val="000000"/>
          <w:sz w:val="24"/>
        </w:rPr>
      </w:pPr>
      <w:r w:rsidRPr="00EF0DF6">
        <w:rPr>
          <w:rFonts w:ascii="Arial" w:hAnsi="Arial" w:cs="Arial" w:hint="eastAsia"/>
          <w:bCs w:val="0"/>
          <w:color w:val="000000"/>
          <w:sz w:val="24"/>
        </w:rPr>
        <w:t>美國歷史上的類託管區</w:t>
      </w:r>
    </w:p>
    <w:p w:rsidR="00BB24D8" w:rsidRPr="00A737E8" w:rsidRDefault="001D3046" w:rsidP="00DE616E">
      <w:pPr>
        <w:pStyle w:val="Web"/>
        <w:spacing w:beforeLines="35" w:beforeAutospacing="0" w:after="0" w:afterAutospacing="0"/>
        <w:ind w:leftChars="59" w:left="142"/>
        <w:rPr>
          <w:rFonts w:ascii="Arial" w:hAnsi="Arial" w:cs="Arial"/>
          <w:color w:val="000000"/>
          <w:sz w:val="20"/>
          <w:szCs w:val="9"/>
        </w:rPr>
      </w:pPr>
      <w:r w:rsidRPr="001D3046">
        <w:rPr>
          <w:rFonts w:ascii="Arial" w:hAnsi="Arial" w:cs="Arial" w:hint="eastAsia"/>
          <w:color w:val="000000"/>
          <w:sz w:val="20"/>
          <w:szCs w:val="9"/>
        </w:rPr>
        <w:t>根據美國憲法，</w:t>
      </w:r>
      <w:r w:rsidRPr="001D3046">
        <w:rPr>
          <w:rFonts w:ascii="Arial" w:hAnsi="Arial" w:cs="Arial" w:hint="eastAsia"/>
          <w:color w:val="000000"/>
          <w:sz w:val="20"/>
          <w:szCs w:val="9"/>
        </w:rPr>
        <w:t>"</w:t>
      </w:r>
      <w:r w:rsidRPr="001D3046">
        <w:rPr>
          <w:rFonts w:ascii="Arial" w:hAnsi="Arial" w:cs="Arial" w:hint="eastAsia"/>
          <w:color w:val="000000"/>
          <w:sz w:val="20"/>
          <w:szCs w:val="9"/>
        </w:rPr>
        <w:t>類託管區</w:t>
      </w:r>
      <w:r w:rsidRPr="001D3046">
        <w:rPr>
          <w:rFonts w:ascii="Arial" w:hAnsi="Arial" w:cs="Arial" w:hint="eastAsia"/>
          <w:color w:val="000000"/>
          <w:sz w:val="20"/>
          <w:szCs w:val="9"/>
        </w:rPr>
        <w:t xml:space="preserve">" </w:t>
      </w:r>
      <w:r w:rsidRPr="001D3046">
        <w:rPr>
          <w:rFonts w:ascii="Arial" w:hAnsi="Arial" w:cs="Arial" w:hint="eastAsia"/>
          <w:color w:val="000000"/>
          <w:sz w:val="20"/>
          <w:szCs w:val="9"/>
        </w:rPr>
        <w:t>的領土類別的存在早於</w:t>
      </w:r>
      <w:r w:rsidRPr="001D3046">
        <w:rPr>
          <w:rFonts w:ascii="Arial" w:hAnsi="Arial" w:cs="Arial" w:hint="eastAsia"/>
          <w:color w:val="000000"/>
          <w:sz w:val="20"/>
          <w:szCs w:val="9"/>
        </w:rPr>
        <w:t>1901</w:t>
      </w:r>
      <w:r w:rsidRPr="001D3046">
        <w:rPr>
          <w:rFonts w:ascii="Arial" w:hAnsi="Arial" w:cs="Arial" w:hint="eastAsia"/>
          <w:color w:val="000000"/>
          <w:sz w:val="20"/>
          <w:szCs w:val="9"/>
        </w:rPr>
        <w:t>年就獲得最高法院的承認。</w:t>
      </w:r>
    </w:p>
    <w:p w:rsidR="00BB24D8" w:rsidRPr="00A737E8" w:rsidRDefault="001D3046" w:rsidP="00DE616E">
      <w:pPr>
        <w:pStyle w:val="Web"/>
        <w:spacing w:beforeLines="35" w:beforeAutospacing="0" w:after="0" w:afterAutospacing="0"/>
        <w:ind w:leftChars="59" w:left="142"/>
        <w:rPr>
          <w:rFonts w:ascii="Arial" w:hAnsi="Arial" w:cs="Arial"/>
          <w:color w:val="000000"/>
          <w:sz w:val="20"/>
          <w:szCs w:val="9"/>
        </w:rPr>
      </w:pPr>
      <w:r w:rsidRPr="001D3046">
        <w:rPr>
          <w:rFonts w:ascii="Arial" w:hAnsi="Arial" w:cs="Arial" w:hint="eastAsia"/>
          <w:color w:val="000000"/>
          <w:sz w:val="20"/>
          <w:szCs w:val="9"/>
        </w:rPr>
        <w:t>到目前為止，我們已經可以找到美國歷史上三</w:t>
      </w:r>
      <w:proofErr w:type="gramStart"/>
      <w:r w:rsidRPr="001D3046">
        <w:rPr>
          <w:rFonts w:ascii="Arial" w:hAnsi="Arial" w:cs="Arial" w:hint="eastAsia"/>
          <w:color w:val="000000"/>
          <w:sz w:val="20"/>
          <w:szCs w:val="9"/>
        </w:rPr>
        <w:t>個</w:t>
      </w:r>
      <w:proofErr w:type="gramEnd"/>
      <w:r w:rsidRPr="001D3046">
        <w:rPr>
          <w:rFonts w:ascii="Arial" w:hAnsi="Arial" w:cs="Arial" w:hint="eastAsia"/>
          <w:color w:val="000000"/>
          <w:sz w:val="20"/>
          <w:szCs w:val="9"/>
        </w:rPr>
        <w:t>主要的例子。</w:t>
      </w:r>
    </w:p>
    <w:p w:rsidR="00A737E8" w:rsidRDefault="00A737E8" w:rsidP="00671861">
      <w:pPr>
        <w:pStyle w:val="6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</w:rPr>
      </w:pPr>
    </w:p>
    <w:p w:rsidR="00BB24D8" w:rsidRPr="009E5D73" w:rsidRDefault="00B773CF" w:rsidP="00BB24D8">
      <w:pPr>
        <w:pStyle w:val="6"/>
        <w:spacing w:after="0" w:afterAutospacing="0"/>
        <w:jc w:val="center"/>
        <w:rPr>
          <w:rFonts w:ascii="Arial" w:hAnsi="Arial" w:cs="Arial"/>
          <w:color w:val="000000"/>
          <w:sz w:val="21"/>
        </w:rPr>
      </w:pPr>
      <w:r w:rsidRPr="009E5D73">
        <w:rPr>
          <w:rFonts w:ascii="Arial" w:hAnsi="Arial" w:cs="Arial" w:hint="eastAsia"/>
          <w:color w:val="000000"/>
          <w:sz w:val="21"/>
        </w:rPr>
        <w:t>美屬海外</w:t>
      </w:r>
      <w:r w:rsidRPr="009E5D73">
        <w:rPr>
          <w:rFonts w:ascii="Arial" w:hAnsi="Arial" w:cs="Arial" w:hint="eastAsia"/>
          <w:color w:val="000000"/>
          <w:sz w:val="21"/>
        </w:rPr>
        <w:t xml:space="preserve"> "</w:t>
      </w:r>
      <w:r w:rsidRPr="009E5D73">
        <w:rPr>
          <w:rFonts w:ascii="Arial" w:hAnsi="Arial" w:cs="Arial" w:hint="eastAsia"/>
          <w:color w:val="000000"/>
          <w:sz w:val="21"/>
        </w:rPr>
        <w:t>類託管區</w:t>
      </w:r>
      <w:r w:rsidRPr="009E5D73">
        <w:rPr>
          <w:rFonts w:ascii="Arial" w:hAnsi="Arial" w:cs="Arial" w:hint="eastAsia"/>
          <w:color w:val="000000"/>
          <w:sz w:val="21"/>
        </w:rPr>
        <w:t>"</w:t>
      </w:r>
    </w:p>
    <w:p w:rsidR="00BB24D8" w:rsidRPr="00BB24D8" w:rsidRDefault="009E5D73" w:rsidP="009E5D73">
      <w:pPr>
        <w:pStyle w:val="my-1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9"/>
        </w:rPr>
      </w:pPr>
      <w:r>
        <w:rPr>
          <w:rFonts w:ascii="Arial" w:hAnsi="Arial" w:cs="Arial" w:hint="eastAsia"/>
          <w:color w:val="000000"/>
          <w:sz w:val="20"/>
          <w:szCs w:val="9"/>
        </w:rPr>
        <w:tab/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>古巴</w:t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 xml:space="preserve">     1899</w:t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>年至</w:t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>1902</w:t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>年</w:t>
      </w:r>
    </w:p>
    <w:p w:rsidR="00BB24D8" w:rsidRPr="00BB24D8" w:rsidRDefault="009E5D73" w:rsidP="009E5D73">
      <w:pPr>
        <w:pStyle w:val="Web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9"/>
        </w:rPr>
      </w:pPr>
      <w:r>
        <w:rPr>
          <w:rFonts w:ascii="Arial" w:hAnsi="Arial" w:cs="Arial" w:hint="eastAsia"/>
          <w:color w:val="000000"/>
          <w:sz w:val="20"/>
          <w:szCs w:val="9"/>
        </w:rPr>
        <w:tab/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>琉球</w:t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 xml:space="preserve">     1952</w:t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>年至</w:t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>1972</w:t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>年</w:t>
      </w:r>
    </w:p>
    <w:p w:rsidR="00BB24D8" w:rsidRPr="00BB24D8" w:rsidRDefault="009E5D73" w:rsidP="009E5D73">
      <w:pPr>
        <w:pStyle w:val="mt-1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9"/>
        </w:rPr>
      </w:pPr>
      <w:r>
        <w:rPr>
          <w:rFonts w:ascii="Arial" w:hAnsi="Arial" w:cs="Arial" w:hint="eastAsia"/>
          <w:color w:val="000000"/>
          <w:sz w:val="20"/>
          <w:szCs w:val="9"/>
        </w:rPr>
        <w:tab/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>台灣</w:t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 xml:space="preserve">     1952</w:t>
      </w:r>
      <w:r w:rsidR="00B773CF" w:rsidRPr="00B773CF">
        <w:rPr>
          <w:rFonts w:ascii="Arial" w:hAnsi="Arial" w:cs="Arial" w:hint="eastAsia"/>
          <w:color w:val="000000"/>
          <w:sz w:val="20"/>
          <w:szCs w:val="9"/>
        </w:rPr>
        <w:t>年至今</w:t>
      </w:r>
    </w:p>
    <w:p w:rsidR="00BB24D8" w:rsidRPr="00BB24D8" w:rsidRDefault="00BB24D8" w:rsidP="00BB24D8">
      <w:pPr>
        <w:widowControl/>
        <w:shd w:val="clear" w:color="auto" w:fill="FFFFFF"/>
        <w:outlineLvl w:val="4"/>
        <w:rPr>
          <w:rFonts w:ascii="Arial" w:eastAsia="新細明體" w:hAnsi="Arial" w:cs="Arial"/>
          <w:color w:val="FFFFFF"/>
          <w:kern w:val="0"/>
          <w:sz w:val="17"/>
          <w:szCs w:val="17"/>
        </w:rPr>
      </w:pPr>
    </w:p>
    <w:p w:rsidR="00BB24D8" w:rsidRDefault="00BB24D8" w:rsidP="00BB24D8">
      <w:pPr>
        <w:widowControl/>
        <w:rPr>
          <w:rFonts w:ascii="Arial" w:eastAsia="新細明體" w:hAnsi="Arial" w:cs="Arial"/>
          <w:color w:val="FFFFFF"/>
          <w:kern w:val="0"/>
          <w:sz w:val="17"/>
          <w:szCs w:val="17"/>
        </w:rPr>
      </w:pPr>
      <w:r>
        <w:rPr>
          <w:rFonts w:ascii="Arial" w:eastAsia="新細明體" w:hAnsi="Arial" w:cs="Arial"/>
          <w:noProof/>
          <w:color w:val="FFFFFF"/>
          <w:kern w:val="0"/>
          <w:sz w:val="17"/>
          <w:szCs w:val="17"/>
        </w:rPr>
        <w:drawing>
          <wp:inline distT="0" distB="0" distL="0" distR="0">
            <wp:extent cx="5260521" cy="1315449"/>
            <wp:effectExtent l="19050" t="0" r="0" b="0"/>
            <wp:docPr id="2" name="圖片 2" descr="trust3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ust3-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36" cy="131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D8" w:rsidRDefault="00BB24D8" w:rsidP="00BB24D8">
      <w:pPr>
        <w:widowControl/>
        <w:rPr>
          <w:rFonts w:ascii="Arial" w:eastAsia="新細明體" w:hAnsi="Arial" w:cs="Arial"/>
          <w:color w:val="FFFFFF"/>
          <w:kern w:val="0"/>
          <w:sz w:val="17"/>
          <w:szCs w:val="17"/>
        </w:rPr>
      </w:pPr>
    </w:p>
    <w:p w:rsidR="00BB24D8" w:rsidRDefault="00B773CF" w:rsidP="00671861">
      <w:pPr>
        <w:widowControl/>
        <w:shd w:val="clear" w:color="auto" w:fill="FFFFFF"/>
        <w:outlineLvl w:val="4"/>
        <w:rPr>
          <w:rFonts w:ascii="Arial" w:eastAsia="新細明體" w:hAnsi="Arial" w:cs="Arial"/>
          <w:kern w:val="0"/>
          <w:sz w:val="20"/>
          <w:szCs w:val="20"/>
        </w:rPr>
      </w:pPr>
      <w:r w:rsidRPr="00B773CF">
        <w:rPr>
          <w:rFonts w:ascii="Arial" w:eastAsia="新細明體" w:hAnsi="Arial" w:cs="Arial" w:hint="eastAsia"/>
          <w:kern w:val="0"/>
          <w:sz w:val="20"/>
          <w:szCs w:val="20"/>
        </w:rPr>
        <w:t>下面介紹有關託管</w:t>
      </w:r>
      <w:proofErr w:type="gramStart"/>
      <w:r w:rsidRPr="00B773CF">
        <w:rPr>
          <w:rFonts w:ascii="Arial" w:eastAsia="新細明體" w:hAnsi="Arial" w:cs="Arial" w:hint="eastAsia"/>
          <w:kern w:val="0"/>
          <w:sz w:val="20"/>
          <w:szCs w:val="20"/>
        </w:rPr>
        <w:t>區和類託管</w:t>
      </w:r>
      <w:proofErr w:type="gramEnd"/>
      <w:r w:rsidRPr="00B773CF">
        <w:rPr>
          <w:rFonts w:ascii="Arial" w:eastAsia="新細明體" w:hAnsi="Arial" w:cs="Arial" w:hint="eastAsia"/>
          <w:kern w:val="0"/>
          <w:sz w:val="20"/>
          <w:szCs w:val="20"/>
        </w:rPr>
        <w:t>區的更多觀念。</w:t>
      </w:r>
    </w:p>
    <w:p w:rsidR="00671861" w:rsidRDefault="00671861" w:rsidP="00AF613F">
      <w:pPr>
        <w:widowControl/>
        <w:shd w:val="clear" w:color="auto" w:fill="FFFFFF"/>
        <w:snapToGrid w:val="0"/>
        <w:outlineLvl w:val="4"/>
        <w:rPr>
          <w:rFonts w:ascii="Arial" w:eastAsia="新細明體" w:hAnsi="Arial" w:cs="Arial"/>
          <w:kern w:val="0"/>
          <w:sz w:val="20"/>
          <w:szCs w:val="20"/>
        </w:rPr>
      </w:pPr>
    </w:p>
    <w:p w:rsidR="00BB24D8" w:rsidRPr="009E5D73" w:rsidRDefault="00B773CF" w:rsidP="00DE616E">
      <w:pPr>
        <w:widowControl/>
        <w:spacing w:beforeLines="50"/>
        <w:outlineLvl w:val="4"/>
        <w:rPr>
          <w:rFonts w:ascii="Arial" w:eastAsia="新細明體" w:hAnsi="Arial" w:cs="Arial"/>
          <w:b/>
          <w:color w:val="000000"/>
          <w:kern w:val="0"/>
          <w:sz w:val="22"/>
          <w:szCs w:val="20"/>
        </w:rPr>
      </w:pPr>
      <w:r w:rsidRPr="009E5D73">
        <w:rPr>
          <w:rFonts w:ascii="Arial" w:eastAsia="新細明體" w:hAnsi="Arial" w:cs="Arial" w:hint="eastAsia"/>
          <w:b/>
          <w:color w:val="000000"/>
          <w:kern w:val="0"/>
          <w:sz w:val="22"/>
          <w:szCs w:val="20"/>
        </w:rPr>
        <w:t>託管區之特徵</w:t>
      </w:r>
    </w:p>
    <w:p w:rsidR="00BB24D8" w:rsidRPr="00AF613F" w:rsidRDefault="00B773CF" w:rsidP="00DE616E">
      <w:pPr>
        <w:widowControl/>
        <w:spacing w:beforeLines="35" w:line="280" w:lineRule="atLeast"/>
        <w:ind w:leftChars="59" w:left="142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"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託管區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 xml:space="preserve">" 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通常被定義為在個別受託協議的安排與授權下，聯合國將行政管理權交</w:t>
      </w:r>
      <w:proofErr w:type="gramStart"/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託</w:t>
      </w:r>
      <w:proofErr w:type="gramEnd"/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給另一個國家的區域。</w:t>
      </w:r>
    </w:p>
    <w:p w:rsidR="004D1EB3" w:rsidRDefault="00B773CF" w:rsidP="00DE616E">
      <w:pPr>
        <w:widowControl/>
        <w:spacing w:beforeLines="50"/>
        <w:ind w:leftChars="59" w:left="142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從美國的角度來看，美國憲法有領土條款（第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4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條，第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3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款，第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2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節），但沒有託管條款。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 xml:space="preserve"> 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儘管如此，</w:t>
      </w:r>
      <w:r w:rsidR="004D1EB3" w:rsidRPr="004D1EB3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美國最高法院已經承認在某些</w:t>
      </w:r>
      <w:r w:rsidR="009E5D73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被</w:t>
      </w:r>
      <w:r w:rsidR="004D1EB3" w:rsidRPr="004D1EB3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美國軍事管轄權的地</w:t>
      </w:r>
      <w:r w:rsidR="004D1EB3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方</w:t>
      </w:r>
      <w:r w:rsidR="004D1EB3" w:rsidRPr="004D1EB3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內</w:t>
      </w:r>
      <w:r w:rsidR="004D1EB3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確實</w:t>
      </w:r>
      <w:r w:rsidR="004D1EB3" w:rsidRPr="004D1EB3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存在託管類型的安排。</w:t>
      </w:r>
    </w:p>
    <w:p w:rsidR="003F4111" w:rsidRPr="003F4111" w:rsidRDefault="003F4111" w:rsidP="003F4111">
      <w:pPr>
        <w:widowControl/>
        <w:snapToGrid w:val="0"/>
        <w:ind w:leftChars="59" w:left="142"/>
        <w:rPr>
          <w:rFonts w:ascii="Arial" w:eastAsia="新細明體" w:hAnsi="Arial" w:cs="Arial"/>
          <w:color w:val="000000"/>
          <w:kern w:val="0"/>
          <w:sz w:val="20"/>
          <w:szCs w:val="18"/>
        </w:rPr>
      </w:pPr>
    </w:p>
    <w:p w:rsidR="00BB24D8" w:rsidRPr="00AF613F" w:rsidRDefault="00B773CF" w:rsidP="00DE616E">
      <w:pPr>
        <w:widowControl/>
        <w:spacing w:beforeLines="50" w:line="380" w:lineRule="atLeast"/>
        <w:ind w:leftChars="59" w:left="142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3F4111">
        <w:rPr>
          <w:rFonts w:ascii="Arial" w:eastAsia="新細明體" w:hAnsi="Arial" w:cs="Arial" w:hint="eastAsia"/>
          <w:b/>
          <w:color w:val="000000"/>
          <w:kern w:val="0"/>
          <w:sz w:val="20"/>
          <w:szCs w:val="18"/>
        </w:rPr>
        <w:t>類託管區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的總</w:t>
      </w:r>
      <w:proofErr w:type="gramStart"/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覽</w:t>
      </w:r>
      <w:proofErr w:type="gramEnd"/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：正如我們的三個流程圖系列所分析的，根據美國法律，海外“類託管區”具有以下特徵：</w:t>
      </w:r>
    </w:p>
    <w:p w:rsidR="00BB24D8" w:rsidRPr="00AF613F" w:rsidRDefault="00B773CF" w:rsidP="00AF613F">
      <w:pPr>
        <w:widowControl/>
        <w:numPr>
          <w:ilvl w:val="0"/>
          <w:numId w:val="4"/>
        </w:numPr>
        <w:spacing w:line="380" w:lineRule="atLeast"/>
        <w:ind w:left="714" w:hanging="357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美國向該領土提供了大量經濟和軍事支持，同時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 xml:space="preserve"> --</w:t>
      </w:r>
    </w:p>
    <w:p w:rsidR="00BB24D8" w:rsidRPr="00AF613F" w:rsidRDefault="00B773CF" w:rsidP="00AF613F">
      <w:pPr>
        <w:widowControl/>
        <w:numPr>
          <w:ilvl w:val="0"/>
          <w:numId w:val="4"/>
        </w:numPr>
        <w:spacing w:line="380" w:lineRule="atLeast"/>
        <w:ind w:left="720" w:hanging="360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美國對該領土進行了廣泛的軍事使用和大規模的控制；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 xml:space="preserve"> 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此外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 xml:space="preserve"> --</w:t>
      </w:r>
    </w:p>
    <w:p w:rsidR="00BB24D8" w:rsidRPr="00AF613F" w:rsidRDefault="00B773CF" w:rsidP="00AF613F">
      <w:pPr>
        <w:widowControl/>
        <w:numPr>
          <w:ilvl w:val="0"/>
          <w:numId w:val="4"/>
        </w:numPr>
        <w:spacing w:line="380" w:lineRule="atLeast"/>
        <w:ind w:left="720" w:hanging="360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這種廣泛的軍事使用和控制，包括美國承擔著任何可能進行入侵的外國的直接對抗角色。還有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 xml:space="preserve"> --</w:t>
      </w:r>
    </w:p>
    <w:p w:rsidR="00BB24D8" w:rsidRPr="00AF613F" w:rsidRDefault="00B773CF" w:rsidP="00AF613F">
      <w:pPr>
        <w:widowControl/>
        <w:numPr>
          <w:ilvl w:val="0"/>
          <w:numId w:val="4"/>
        </w:numPr>
        <w:spacing w:line="380" w:lineRule="atLeast"/>
        <w:ind w:left="720" w:hanging="360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戰後和平條約裡規定，美國擁有對該領土的最終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 xml:space="preserve"> "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處置權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"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，也因此</w:t>
      </w: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 xml:space="preserve"> --</w:t>
      </w:r>
    </w:p>
    <w:p w:rsidR="00BB24D8" w:rsidRPr="00AF613F" w:rsidRDefault="00B773CF" w:rsidP="00AF613F">
      <w:pPr>
        <w:widowControl/>
        <w:numPr>
          <w:ilvl w:val="0"/>
          <w:numId w:val="4"/>
        </w:numPr>
        <w:spacing w:line="380" w:lineRule="atLeast"/>
        <w:ind w:left="720" w:hanging="360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B773C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美國規定了對該領土的任何擬議未來處置的條件以及保有否決權。</w:t>
      </w:r>
    </w:p>
    <w:p w:rsidR="00671861" w:rsidRPr="00AF613F" w:rsidRDefault="00671861" w:rsidP="00AF613F">
      <w:pPr>
        <w:widowControl/>
        <w:spacing w:line="380" w:lineRule="atLeast"/>
        <w:ind w:leftChars="59" w:left="142"/>
        <w:rPr>
          <w:rFonts w:ascii="Arial" w:eastAsia="新細明體" w:hAnsi="Arial" w:cs="Arial"/>
          <w:color w:val="000000"/>
          <w:kern w:val="0"/>
          <w:sz w:val="20"/>
          <w:szCs w:val="18"/>
        </w:rPr>
      </w:pPr>
    </w:p>
    <w:p w:rsidR="00BB24D8" w:rsidRPr="00AF613F" w:rsidRDefault="00B773CF" w:rsidP="00AF613F">
      <w:pPr>
        <w:widowControl/>
        <w:spacing w:line="380" w:lineRule="atLeast"/>
        <w:ind w:leftChars="59" w:left="142"/>
        <w:rPr>
          <w:rFonts w:ascii="Arial" w:eastAsia="新細明體" w:hAnsi="Arial" w:cs="Arial"/>
          <w:color w:val="000000"/>
          <w:kern w:val="0"/>
          <w:sz w:val="20"/>
          <w:szCs w:val="19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值得注意的是，以上五個特徵完全符合國際託管習慣和前例。</w:t>
      </w:r>
    </w:p>
    <w:p w:rsidR="00671861" w:rsidRPr="00671861" w:rsidRDefault="00671861" w:rsidP="00DE616E">
      <w:pPr>
        <w:widowControl/>
        <w:spacing w:beforeLines="35"/>
        <w:ind w:leftChars="59" w:left="142"/>
        <w:rPr>
          <w:rFonts w:ascii="Arial" w:eastAsia="新細明體" w:hAnsi="Arial" w:cs="Arial"/>
          <w:color w:val="000000"/>
          <w:kern w:val="0"/>
          <w:sz w:val="18"/>
          <w:szCs w:val="18"/>
        </w:rPr>
      </w:pPr>
    </w:p>
    <w:p w:rsidR="00BB24D8" w:rsidRPr="00BB24D8" w:rsidRDefault="00BB24D8" w:rsidP="00586BF3">
      <w:pPr>
        <w:widowControl/>
        <w:jc w:val="center"/>
        <w:rPr>
          <w:rFonts w:ascii="Arial" w:eastAsia="新細明體" w:hAnsi="Arial" w:cs="Arial"/>
          <w:color w:val="FFFFFF"/>
          <w:kern w:val="0"/>
          <w:sz w:val="17"/>
          <w:szCs w:val="17"/>
        </w:rPr>
      </w:pPr>
      <w:r>
        <w:rPr>
          <w:rFonts w:ascii="Arial" w:eastAsia="新細明體" w:hAnsi="Arial" w:cs="Arial"/>
          <w:noProof/>
          <w:color w:val="FFFFFF"/>
          <w:kern w:val="0"/>
          <w:sz w:val="17"/>
          <w:szCs w:val="17"/>
        </w:rPr>
        <w:drawing>
          <wp:inline distT="0" distB="0" distL="0" distR="0">
            <wp:extent cx="5253990" cy="3941368"/>
            <wp:effectExtent l="19050" t="0" r="3810" b="0"/>
            <wp:docPr id="3" name="圖片 3" descr="collage02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age0222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53" cy="394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D8" w:rsidRPr="00BB24D8" w:rsidRDefault="00BB24D8" w:rsidP="00671861">
      <w:pPr>
        <w:widowControl/>
        <w:rPr>
          <w:rFonts w:ascii="Arial" w:eastAsia="新細明體" w:hAnsi="Arial" w:cs="Arial"/>
          <w:color w:val="FFFFFF"/>
          <w:kern w:val="0"/>
          <w:sz w:val="17"/>
          <w:szCs w:val="17"/>
        </w:rPr>
      </w:pPr>
      <w:r w:rsidRPr="00BB24D8">
        <w:rPr>
          <w:rFonts w:ascii="Arial" w:eastAsia="新細明體" w:hAnsi="Arial" w:cs="Arial"/>
          <w:color w:val="FFFFFF"/>
          <w:kern w:val="0"/>
          <w:sz w:val="17"/>
          <w:szCs w:val="17"/>
        </w:rPr>
        <w:t>Further comparisons between re outlined below.</w:t>
      </w:r>
    </w:p>
    <w:p w:rsidR="00E761A5" w:rsidRDefault="00E761A5" w:rsidP="00671861">
      <w:pPr>
        <w:widowControl/>
        <w:shd w:val="clear" w:color="auto" w:fill="FFFFFF"/>
        <w:ind w:rightChars="-142" w:right="-341"/>
        <w:outlineLvl w:val="4"/>
        <w:rPr>
          <w:rFonts w:ascii="Arial" w:eastAsia="新細明體" w:hAnsi="Arial" w:cs="Arial"/>
          <w:kern w:val="0"/>
          <w:sz w:val="23"/>
          <w:szCs w:val="23"/>
        </w:rPr>
      </w:pPr>
    </w:p>
    <w:p w:rsidR="00BB24D8" w:rsidRPr="00671861" w:rsidRDefault="00B773CF" w:rsidP="00671861">
      <w:pPr>
        <w:widowControl/>
        <w:shd w:val="clear" w:color="auto" w:fill="FFFFFF"/>
        <w:ind w:rightChars="-142" w:right="-341"/>
        <w:outlineLvl w:val="4"/>
        <w:rPr>
          <w:rFonts w:ascii="Arial" w:eastAsia="新細明體" w:hAnsi="Arial" w:cs="Arial"/>
          <w:kern w:val="0"/>
          <w:sz w:val="23"/>
          <w:szCs w:val="23"/>
        </w:rPr>
      </w:pPr>
      <w:r w:rsidRPr="00B773CF">
        <w:rPr>
          <w:rFonts w:ascii="Arial" w:eastAsia="新細明體" w:hAnsi="Arial" w:cs="Arial" w:hint="eastAsia"/>
          <w:kern w:val="0"/>
          <w:sz w:val="23"/>
          <w:szCs w:val="23"/>
        </w:rPr>
        <w:t>下文概述了古巴，琉球和台灣之間的進一步比較。</w:t>
      </w:r>
    </w:p>
    <w:p w:rsidR="00BB24D8" w:rsidRPr="009E5D73" w:rsidRDefault="00B773CF" w:rsidP="00DE616E">
      <w:pPr>
        <w:widowControl/>
        <w:shd w:val="clear" w:color="auto" w:fill="FFFFFF"/>
        <w:spacing w:beforeLines="35"/>
        <w:ind w:firstLineChars="71" w:firstLine="170"/>
        <w:outlineLvl w:val="4"/>
        <w:rPr>
          <w:rFonts w:ascii="標楷體" w:eastAsia="標楷體" w:hAnsi="標楷體" w:cs="Arial"/>
          <w:kern w:val="0"/>
          <w:szCs w:val="20"/>
        </w:rPr>
      </w:pPr>
      <w:r w:rsidRPr="009E5D73">
        <w:rPr>
          <w:rFonts w:ascii="標楷體" w:eastAsia="標楷體" w:hAnsi="標楷體" w:cs="Arial" w:hint="eastAsia"/>
          <w:kern w:val="0"/>
          <w:szCs w:val="20"/>
        </w:rPr>
        <w:t>美屬</w:t>
      </w:r>
      <w:proofErr w:type="gramStart"/>
      <w:r w:rsidRPr="009E5D73">
        <w:rPr>
          <w:rFonts w:ascii="標楷體" w:eastAsia="標楷體" w:hAnsi="標楷體" w:cs="Arial" w:hint="eastAsia"/>
          <w:kern w:val="0"/>
          <w:szCs w:val="20"/>
        </w:rPr>
        <w:t>海外類</w:t>
      </w:r>
      <w:proofErr w:type="gramEnd"/>
      <w:r w:rsidRPr="009E5D73">
        <w:rPr>
          <w:rFonts w:ascii="標楷體" w:eastAsia="標楷體" w:hAnsi="標楷體" w:cs="Arial" w:hint="eastAsia"/>
          <w:kern w:val="0"/>
          <w:szCs w:val="20"/>
        </w:rPr>
        <w:t>託管區的基本屬性</w:t>
      </w:r>
    </w:p>
    <w:p w:rsidR="00671861" w:rsidRDefault="00671861" w:rsidP="00DE616E">
      <w:pPr>
        <w:widowControl/>
        <w:shd w:val="clear" w:color="auto" w:fill="FFFFFF"/>
        <w:spacing w:beforeLines="25"/>
        <w:ind w:firstLineChars="94" w:firstLine="169"/>
        <w:rPr>
          <w:rFonts w:ascii="Arial" w:eastAsia="新細明體" w:hAnsi="Arial" w:cs="Arial"/>
          <w:kern w:val="0"/>
          <w:sz w:val="18"/>
          <w:szCs w:val="16"/>
        </w:rPr>
      </w:pPr>
    </w:p>
    <w:p w:rsidR="00BB24D8" w:rsidRPr="00671861" w:rsidRDefault="00B773CF" w:rsidP="00B773CF">
      <w:pPr>
        <w:widowControl/>
        <w:shd w:val="clear" w:color="auto" w:fill="FFFFFF"/>
        <w:ind w:firstLineChars="94" w:firstLine="188"/>
        <w:rPr>
          <w:rFonts w:ascii="Arial" w:eastAsia="新細明體" w:hAnsi="Arial" w:cs="Arial"/>
          <w:kern w:val="0"/>
          <w:sz w:val="20"/>
          <w:szCs w:val="16"/>
        </w:rPr>
      </w:pP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作為美屬</w:t>
      </w:r>
      <w:proofErr w:type="gramStart"/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海外類</w:t>
      </w:r>
      <w:proofErr w:type="gramEnd"/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託管區</w:t>
      </w:r>
      <w:proofErr w:type="gramStart"/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期間，</w:t>
      </w:r>
      <w:proofErr w:type="gramEnd"/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古巴、琉球和台灣都具有以下基本屬性：</w:t>
      </w:r>
    </w:p>
    <w:p w:rsidR="00BB24D8" w:rsidRPr="00671861" w:rsidRDefault="00B773CF" w:rsidP="00DE616E">
      <w:pPr>
        <w:widowControl/>
        <w:numPr>
          <w:ilvl w:val="0"/>
          <w:numId w:val="3"/>
        </w:numPr>
        <w:shd w:val="clear" w:color="auto" w:fill="FFFFFF"/>
        <w:spacing w:beforeLines="50" w:line="360" w:lineRule="atLeast"/>
        <w:ind w:left="714" w:hanging="357"/>
        <w:rPr>
          <w:rFonts w:ascii="Arial" w:eastAsia="新細明體" w:hAnsi="Arial" w:cs="Arial"/>
          <w:kern w:val="0"/>
          <w:sz w:val="20"/>
          <w:szCs w:val="16"/>
        </w:rPr>
      </w:pP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lastRenderedPageBreak/>
        <w:t>在正式宣布的戰爭中，美軍征服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/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解放了該領土。</w:t>
      </w:r>
    </w:p>
    <w:p w:rsidR="00BB24D8" w:rsidRPr="00671861" w:rsidRDefault="00B773CF" w:rsidP="00A737E8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720" w:hanging="360"/>
        <w:rPr>
          <w:rFonts w:ascii="Arial" w:eastAsia="新細明體" w:hAnsi="Arial" w:cs="Arial"/>
          <w:kern w:val="0"/>
          <w:sz w:val="20"/>
          <w:szCs w:val="16"/>
        </w:rPr>
      </w:pP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根據戰爭的習俗和慣例，美國扮演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 xml:space="preserve"> "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合法佔領者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 xml:space="preserve">" 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或所謂的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 xml:space="preserve"> "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主要</w:t>
      </w:r>
      <w:proofErr w:type="gramStart"/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佔領權國</w:t>
      </w:r>
      <w:proofErr w:type="gramEnd"/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 xml:space="preserve">" 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的角色。</w:t>
      </w:r>
    </w:p>
    <w:p w:rsidR="00BB24D8" w:rsidRPr="00671861" w:rsidRDefault="00B773CF" w:rsidP="009E5D73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720" w:rightChars="-201" w:right="-482" w:hanging="360"/>
        <w:rPr>
          <w:rFonts w:ascii="Arial" w:eastAsia="新細明體" w:hAnsi="Arial" w:cs="Arial"/>
          <w:kern w:val="0"/>
          <w:sz w:val="20"/>
          <w:szCs w:val="16"/>
        </w:rPr>
      </w:pP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在戰後和平條約中，該領土是由其原來的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 xml:space="preserve"> "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母國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 xml:space="preserve">" 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割讓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 xml:space="preserve"> (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或分離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 xml:space="preserve">) 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的，但未指定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 xml:space="preserve"> "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收受國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"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。</w:t>
      </w:r>
    </w:p>
    <w:p w:rsidR="00BB24D8" w:rsidRPr="00671861" w:rsidRDefault="00B773CF" w:rsidP="00A737E8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720" w:hanging="360"/>
        <w:rPr>
          <w:rFonts w:ascii="Arial" w:eastAsia="新細明體" w:hAnsi="Arial" w:cs="Arial"/>
          <w:kern w:val="0"/>
          <w:sz w:val="20"/>
          <w:szCs w:val="16"/>
        </w:rPr>
      </w:pP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戰後和平條約中規定了美國軍事當局對該領土的管轄權。</w:t>
      </w:r>
    </w:p>
    <w:p w:rsidR="00BB24D8" w:rsidRPr="00671861" w:rsidRDefault="00B773CF" w:rsidP="00DE616E">
      <w:pPr>
        <w:widowControl/>
        <w:numPr>
          <w:ilvl w:val="0"/>
          <w:numId w:val="3"/>
        </w:numPr>
        <w:shd w:val="clear" w:color="auto" w:fill="FFFFFF"/>
        <w:spacing w:afterLines="75" w:line="360" w:lineRule="atLeast"/>
        <w:ind w:left="714" w:hanging="357"/>
        <w:rPr>
          <w:rFonts w:ascii="Arial" w:eastAsia="新細明體" w:hAnsi="Arial" w:cs="Arial"/>
          <w:kern w:val="0"/>
          <w:sz w:val="20"/>
          <w:szCs w:val="16"/>
        </w:rPr>
      </w:pP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即使從未正式簽訂任何託管協議，每</w:t>
      </w:r>
      <w:proofErr w:type="gramStart"/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個</w:t>
      </w:r>
      <w:proofErr w:type="gramEnd"/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地區的治理很明顯地仍具有相當多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 xml:space="preserve"> "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託管區之特徵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"</w:t>
      </w:r>
      <w:r w:rsidRPr="00B773CF">
        <w:rPr>
          <w:rFonts w:ascii="Arial" w:eastAsia="新細明體" w:hAnsi="Arial" w:cs="Arial" w:hint="eastAsia"/>
          <w:kern w:val="0"/>
          <w:sz w:val="20"/>
          <w:szCs w:val="16"/>
        </w:rPr>
        <w:t>。</w:t>
      </w:r>
    </w:p>
    <w:p w:rsidR="00BB24D8" w:rsidRPr="00BB24D8" w:rsidRDefault="00BB24D8" w:rsidP="00A737E8">
      <w:pPr>
        <w:widowControl/>
        <w:jc w:val="center"/>
        <w:rPr>
          <w:rFonts w:ascii="Arial" w:eastAsia="新細明體" w:hAnsi="Arial" w:cs="Arial"/>
          <w:color w:val="FFFFFF"/>
          <w:kern w:val="0"/>
          <w:sz w:val="17"/>
          <w:szCs w:val="17"/>
        </w:rPr>
      </w:pPr>
      <w:r>
        <w:rPr>
          <w:rFonts w:ascii="Arial" w:eastAsia="新細明體" w:hAnsi="Arial" w:cs="Arial"/>
          <w:noProof/>
          <w:color w:val="FFFFFF"/>
          <w:kern w:val="0"/>
          <w:sz w:val="17"/>
          <w:szCs w:val="17"/>
        </w:rPr>
        <w:drawing>
          <wp:inline distT="0" distB="0" distL="0" distR="0">
            <wp:extent cx="5156364" cy="2824542"/>
            <wp:effectExtent l="19050" t="0" r="6186" b="0"/>
            <wp:docPr id="4" name="圖片 4" descr="mountain-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untain-isl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36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E8" w:rsidRDefault="00BB24D8" w:rsidP="00A737E8">
      <w:pPr>
        <w:pStyle w:val="Web"/>
        <w:spacing w:before="0" w:beforeAutospacing="0" w:after="0" w:afterAutospacing="0" w:line="300" w:lineRule="atLeast"/>
        <w:ind w:leftChars="59" w:left="142"/>
        <w:rPr>
          <w:rFonts w:ascii="Arial" w:hAnsi="Arial" w:cs="Arial"/>
          <w:color w:val="FFFFFF"/>
          <w:sz w:val="17"/>
          <w:szCs w:val="17"/>
        </w:rPr>
      </w:pPr>
      <w:r w:rsidRPr="00BB24D8">
        <w:rPr>
          <w:rFonts w:ascii="Arial" w:hAnsi="Arial" w:cs="Arial"/>
          <w:color w:val="FFFFFF"/>
          <w:sz w:val="17"/>
          <w:szCs w:val="17"/>
        </w:rPr>
        <w:t xml:space="preserve">The US Supreme Court has held that "international law is part of our law." The findings regarding US </w:t>
      </w:r>
    </w:p>
    <w:p w:rsidR="00BB24D8" w:rsidRPr="003F4111" w:rsidRDefault="00B773CF" w:rsidP="00A737E8">
      <w:pPr>
        <w:pStyle w:val="Web"/>
        <w:spacing w:before="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Cs w:val="20"/>
        </w:rPr>
      </w:pPr>
      <w:r w:rsidRPr="003F4111">
        <w:rPr>
          <w:rFonts w:ascii="Arial" w:hAnsi="Arial" w:cs="Arial" w:hint="eastAsia"/>
          <w:color w:val="000000"/>
          <w:szCs w:val="20"/>
        </w:rPr>
        <w:t>美國最高法院早就認定“國際法是美國法律的一部分。”</w:t>
      </w:r>
      <w:r w:rsidRPr="003F4111">
        <w:rPr>
          <w:rFonts w:ascii="Arial" w:hAnsi="Arial" w:cs="Arial" w:hint="eastAsia"/>
          <w:color w:val="000000"/>
          <w:szCs w:val="20"/>
        </w:rPr>
        <w:t xml:space="preserve"> </w:t>
      </w:r>
      <w:r w:rsidRPr="003F4111">
        <w:rPr>
          <w:rFonts w:ascii="Arial" w:hAnsi="Arial" w:cs="Arial" w:hint="eastAsia"/>
          <w:color w:val="000000"/>
          <w:szCs w:val="20"/>
        </w:rPr>
        <w:t>本網站所介紹有關美國海外</w:t>
      </w:r>
      <w:r w:rsidRPr="003F4111">
        <w:rPr>
          <w:rFonts w:ascii="Arial" w:hAnsi="Arial" w:cs="Arial" w:hint="eastAsia"/>
          <w:color w:val="000000"/>
          <w:szCs w:val="20"/>
        </w:rPr>
        <w:t>"</w:t>
      </w:r>
      <w:r w:rsidRPr="003F4111">
        <w:rPr>
          <w:rFonts w:ascii="Arial" w:hAnsi="Arial" w:cs="Arial" w:hint="eastAsia"/>
          <w:color w:val="000000"/>
          <w:szCs w:val="20"/>
        </w:rPr>
        <w:t>類託管區</w:t>
      </w:r>
      <w:r w:rsidRPr="003F4111">
        <w:rPr>
          <w:rFonts w:ascii="Arial" w:hAnsi="Arial" w:cs="Arial" w:hint="eastAsia"/>
          <w:color w:val="000000"/>
          <w:szCs w:val="20"/>
        </w:rPr>
        <w:t xml:space="preserve">" </w:t>
      </w:r>
      <w:r w:rsidRPr="003F4111">
        <w:rPr>
          <w:rFonts w:ascii="Arial" w:hAnsi="Arial" w:cs="Arial" w:hint="eastAsia"/>
          <w:color w:val="000000"/>
          <w:szCs w:val="20"/>
        </w:rPr>
        <w:t>的調查結果，全是基於美國憲法原則和法律標準，同時全盤尊重了國際法。</w:t>
      </w:r>
    </w:p>
    <w:p w:rsidR="00BB24D8" w:rsidRPr="009E5D73" w:rsidRDefault="00B773CF" w:rsidP="00DE616E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1"/>
          <w:szCs w:val="20"/>
        </w:rPr>
      </w:pPr>
      <w:r w:rsidRPr="009E5D73">
        <w:rPr>
          <w:rFonts w:ascii="Arial" w:hAnsi="Arial" w:cs="Arial"/>
          <w:color w:val="000000"/>
          <w:szCs w:val="22"/>
          <w:shd w:val="clear" w:color="auto" w:fill="FFFFFF"/>
        </w:rPr>
        <w:t>很重要的是，這些正是美國官員在處理台灣問題時必須採用和遵守的標準。</w:t>
      </w:r>
    </w:p>
    <w:p w:rsidR="00127822" w:rsidRPr="009E5D73" w:rsidRDefault="00B773CF" w:rsidP="00DE616E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1"/>
          <w:szCs w:val="20"/>
        </w:rPr>
      </w:pPr>
      <w:r w:rsidRPr="009E5D73">
        <w:rPr>
          <w:rFonts w:ascii="Arial" w:hAnsi="Arial" w:cs="Arial"/>
          <w:color w:val="000000"/>
          <w:szCs w:val="22"/>
          <w:shd w:val="clear" w:color="auto" w:fill="FFFFFF"/>
        </w:rPr>
        <w:t>最重要的是：美國官員應修改其台灣政策，以忠實執行</w:t>
      </w:r>
      <w:r w:rsidRPr="009E5D73">
        <w:rPr>
          <w:rFonts w:ascii="Arial" w:hAnsi="Arial" w:cs="Arial"/>
          <w:color w:val="000000"/>
          <w:szCs w:val="22"/>
          <w:shd w:val="clear" w:color="auto" w:fill="FFFFFF"/>
        </w:rPr>
        <w:t>1952</w:t>
      </w:r>
      <w:r w:rsidRPr="009E5D73">
        <w:rPr>
          <w:rFonts w:ascii="Arial" w:hAnsi="Arial" w:cs="Arial"/>
          <w:color w:val="000000"/>
          <w:szCs w:val="22"/>
          <w:shd w:val="clear" w:color="auto" w:fill="FFFFFF"/>
        </w:rPr>
        <w:t>年參議院批准的《舊金山和平條約》的內容為前提。</w:t>
      </w:r>
      <w:r w:rsidRPr="009E5D73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Pr="009E5D73">
        <w:rPr>
          <w:rFonts w:ascii="Arial" w:hAnsi="Arial" w:cs="Arial"/>
          <w:color w:val="000000"/>
          <w:szCs w:val="22"/>
          <w:shd w:val="clear" w:color="auto" w:fill="FFFFFF"/>
        </w:rPr>
        <w:t>迄今為止，該條約的內容似乎被完全忽略。</w:t>
      </w:r>
    </w:p>
    <w:p w:rsidR="00671861" w:rsidRDefault="00671861" w:rsidP="00DE616E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0"/>
          <w:szCs w:val="20"/>
        </w:rPr>
      </w:pPr>
    </w:p>
    <w:p w:rsidR="00AF613F" w:rsidRDefault="00AF613F" w:rsidP="00DE616E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0"/>
          <w:szCs w:val="20"/>
        </w:rPr>
      </w:pPr>
    </w:p>
    <w:p w:rsidR="003F4111" w:rsidRDefault="003F4111" w:rsidP="00DE616E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9"/>
        <w:tblW w:w="0" w:type="auto"/>
        <w:tblInd w:w="959" w:type="dxa"/>
        <w:tblLook w:val="04A0"/>
      </w:tblPr>
      <w:tblGrid>
        <w:gridCol w:w="6520"/>
      </w:tblGrid>
      <w:tr w:rsidR="00AF613F" w:rsidTr="00AF613F">
        <w:tc>
          <w:tcPr>
            <w:tcW w:w="6520" w:type="dxa"/>
          </w:tcPr>
          <w:p w:rsidR="00AF613F" w:rsidRPr="00AF613F" w:rsidRDefault="004D1EB3" w:rsidP="00DE616E">
            <w:pPr>
              <w:pStyle w:val="Web"/>
              <w:spacing w:beforeLines="50" w:beforeAutospacing="0" w:after="0" w:afterAutospacing="0" w:line="300" w:lineRule="atLeast"/>
              <w:ind w:left="425" w:hangingChars="193" w:hanging="425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4D1EB3">
              <w:rPr>
                <w:rFonts w:ascii="Arial" w:hAnsi="Arial" w:cs="Arial" w:hint="eastAsia"/>
                <w:color w:val="000000"/>
                <w:sz w:val="22"/>
                <w:szCs w:val="20"/>
              </w:rPr>
              <w:t>回</w:t>
            </w:r>
            <w:r w:rsidRPr="004D1EB3">
              <w:rPr>
                <w:rFonts w:ascii="Arial" w:hAnsi="Arial" w:cs="Arial" w:hint="eastAsia"/>
                <w:color w:val="000000"/>
                <w:sz w:val="22"/>
                <w:szCs w:val="20"/>
              </w:rPr>
              <w:t xml:space="preserve"> </w:t>
            </w:r>
            <w:r w:rsidRPr="004D1EB3">
              <w:rPr>
                <w:rFonts w:ascii="Arial" w:hAnsi="Arial" w:cs="Arial" w:hint="eastAsia"/>
                <w:color w:val="000000"/>
                <w:sz w:val="22"/>
                <w:szCs w:val="20"/>
              </w:rPr>
              <w:t>到</w:t>
            </w:r>
            <w:r>
              <w:rPr>
                <w:rFonts w:ascii="Arial" w:hAnsi="Arial" w:cs="Arial" w:hint="eastAsia"/>
                <w:color w:val="000000"/>
                <w:sz w:val="22"/>
                <w:szCs w:val="20"/>
              </w:rPr>
              <w:t xml:space="preserve"> </w:t>
            </w:r>
            <w:r w:rsidRPr="004D1EB3">
              <w:rPr>
                <w:rFonts w:ascii="Arial" w:hAnsi="Arial" w:cs="Arial" w:hint="eastAsia"/>
                <w:color w:val="000000"/>
                <w:sz w:val="22"/>
                <w:szCs w:val="20"/>
              </w:rPr>
              <w:t>流</w:t>
            </w:r>
            <w:r>
              <w:rPr>
                <w:rFonts w:ascii="Arial" w:hAnsi="Arial" w:cs="Arial" w:hint="eastAsia"/>
                <w:color w:val="000000"/>
                <w:sz w:val="22"/>
                <w:szCs w:val="20"/>
              </w:rPr>
              <w:t xml:space="preserve"> </w:t>
            </w:r>
            <w:r w:rsidRPr="004D1EB3">
              <w:rPr>
                <w:rFonts w:ascii="Arial" w:hAnsi="Arial" w:cs="Arial" w:hint="eastAsia"/>
                <w:color w:val="000000"/>
                <w:sz w:val="22"/>
                <w:szCs w:val="20"/>
              </w:rPr>
              <w:t>程</w:t>
            </w:r>
            <w:r>
              <w:rPr>
                <w:rFonts w:ascii="Arial" w:hAnsi="Arial" w:cs="Arial" w:hint="eastAsia"/>
                <w:color w:val="000000"/>
                <w:sz w:val="22"/>
                <w:szCs w:val="20"/>
              </w:rPr>
              <w:t xml:space="preserve"> </w:t>
            </w:r>
            <w:r w:rsidRPr="004D1EB3">
              <w:rPr>
                <w:rFonts w:ascii="Arial" w:hAnsi="Arial" w:cs="Arial" w:hint="eastAsia"/>
                <w:color w:val="000000"/>
                <w:sz w:val="22"/>
                <w:szCs w:val="20"/>
              </w:rPr>
              <w:t>圖</w:t>
            </w:r>
          </w:p>
          <w:p w:rsidR="00E761A5" w:rsidRDefault="00731EB8" w:rsidP="00DE616E">
            <w:pPr>
              <w:pStyle w:val="Web"/>
              <w:spacing w:beforeLines="50" w:beforeAutospacing="0" w:afterLines="50" w:afterAutospacing="0" w:line="300" w:lineRule="atLeast"/>
              <w:ind w:left="463" w:hangingChars="193" w:hanging="4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="00E761A5" w:rsidRPr="00AC6A4F">
                <w:rPr>
                  <w:rStyle w:val="aa"/>
                  <w:rFonts w:ascii="Arial" w:hAnsi="Arial" w:cs="Arial"/>
                  <w:sz w:val="22"/>
                  <w:szCs w:val="20"/>
                </w:rPr>
                <w:t>https://www.twdefense.info/trust3/</w:t>
              </w:r>
              <w:r w:rsidR="00E761A5" w:rsidRPr="00AC6A4F">
                <w:rPr>
                  <w:rStyle w:val="aa"/>
                  <w:rFonts w:ascii="Arial" w:hAnsi="Arial" w:cs="Arial" w:hint="eastAsia"/>
                  <w:sz w:val="22"/>
                  <w:szCs w:val="20"/>
                </w:rPr>
                <w:t>threech.html</w:t>
              </w:r>
            </w:hyperlink>
            <w:r w:rsidR="00E761A5">
              <w:rPr>
                <w:rFonts w:ascii="Arial" w:hAnsi="Arial" w:cs="Arial" w:hint="eastAsia"/>
                <w:color w:val="000000"/>
                <w:sz w:val="22"/>
                <w:szCs w:val="20"/>
              </w:rPr>
              <w:t xml:space="preserve"> </w:t>
            </w:r>
          </w:p>
        </w:tc>
      </w:tr>
    </w:tbl>
    <w:p w:rsidR="00AF613F" w:rsidRDefault="00AF613F" w:rsidP="00DE616E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0"/>
          <w:szCs w:val="20"/>
        </w:rPr>
      </w:pPr>
    </w:p>
    <w:p w:rsidR="00E761A5" w:rsidRDefault="00E761A5" w:rsidP="00DE616E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0"/>
          <w:szCs w:val="20"/>
        </w:rPr>
      </w:pPr>
    </w:p>
    <w:p w:rsidR="00AF613F" w:rsidRDefault="00775AF5" w:rsidP="00DE616E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Cs w:val="20"/>
        </w:rPr>
      </w:pPr>
      <w:r w:rsidRPr="00775AF5">
        <w:rPr>
          <w:rFonts w:ascii="Arial" w:hAnsi="Arial" w:cs="Arial" w:hint="eastAsia"/>
          <w:color w:val="000000"/>
          <w:szCs w:val="20"/>
        </w:rPr>
        <w:t>Taiwan Autonomy Foundation</w:t>
      </w:r>
    </w:p>
    <w:p w:rsidR="004D1EB3" w:rsidRPr="00775AF5" w:rsidRDefault="004D1EB3" w:rsidP="00DE616E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 w:hint="eastAsia"/>
          <w:color w:val="000000"/>
          <w:szCs w:val="20"/>
        </w:rPr>
        <w:t>台灣自治基金會</w:t>
      </w:r>
    </w:p>
    <w:p w:rsidR="00775AF5" w:rsidRDefault="00775AF5" w:rsidP="00DE616E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>Los Angeles, California USA</w:t>
      </w:r>
    </w:p>
    <w:p w:rsidR="00E761A5" w:rsidRDefault="00E761A5" w:rsidP="00DE616E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E761A5" w:rsidRDefault="00E761A5" w:rsidP="00DE616E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E761A5" w:rsidRDefault="00E761A5" w:rsidP="00DE616E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E761A5" w:rsidRDefault="00DE616E" w:rsidP="00DE616E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2"/>
          <w:szCs w:val="20"/>
        </w:rPr>
      </w:pPr>
      <w:hyperlink r:id="rId12" w:history="1">
        <w:r w:rsidRPr="00186D25">
          <w:rPr>
            <w:rStyle w:val="aa"/>
            <w:rFonts w:ascii="Arial" w:hAnsi="Arial" w:cs="Arial"/>
            <w:sz w:val="22"/>
            <w:szCs w:val="20"/>
          </w:rPr>
          <w:t>https://www.twdefense.info/trust3/</w:t>
        </w:r>
        <w:r w:rsidRPr="00186D25">
          <w:rPr>
            <w:rStyle w:val="aa"/>
            <w:rFonts w:ascii="Arial" w:hAnsi="Arial" w:cs="Arial" w:hint="eastAsia"/>
            <w:sz w:val="22"/>
            <w:szCs w:val="20"/>
          </w:rPr>
          <w:t>quasi-ttrustch.html</w:t>
        </w:r>
      </w:hyperlink>
    </w:p>
    <w:p w:rsidR="00E761A5" w:rsidRDefault="00E761A5" w:rsidP="00DE616E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E761A5" w:rsidRDefault="00E761A5" w:rsidP="00DE616E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3F4111" w:rsidRDefault="003F4111" w:rsidP="00DE616E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3F4111" w:rsidRDefault="003F4111" w:rsidP="00DE616E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3F4111" w:rsidRDefault="003F4111" w:rsidP="00DE616E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  <w:shd w:val="clear" w:color="auto" w:fill="BDED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BDEDFF"/>
        </w:rPr>
        <w:t>此內容係根據</w:t>
      </w:r>
      <w:r>
        <w:rPr>
          <w:rFonts w:ascii="Arial" w:hAnsi="Arial" w:cs="Arial"/>
          <w:color w:val="000000"/>
          <w:sz w:val="20"/>
          <w:szCs w:val="20"/>
          <w:shd w:val="clear" w:color="auto" w:fill="BDEDFF"/>
        </w:rPr>
        <w:t> </w:t>
      </w:r>
      <w:r>
        <w:rPr>
          <w:rStyle w:val="ft12"/>
          <w:rFonts w:ascii="Arial" w:hAnsi="Arial" w:cs="Arial"/>
          <w:color w:val="000000"/>
          <w:sz w:val="20"/>
          <w:szCs w:val="20"/>
          <w:shd w:val="clear" w:color="auto" w:fill="BDEDFF"/>
        </w:rPr>
        <w:t xml:space="preserve">Creative Commons Attribution </w:t>
      </w:r>
      <w:proofErr w:type="spellStart"/>
      <w:r>
        <w:rPr>
          <w:rStyle w:val="ft12"/>
          <w:rFonts w:ascii="Arial" w:hAnsi="Arial" w:cs="Arial"/>
          <w:color w:val="000000"/>
          <w:sz w:val="20"/>
          <w:szCs w:val="20"/>
          <w:shd w:val="clear" w:color="auto" w:fill="BDEDFF"/>
        </w:rPr>
        <w:t>ShareAlike</w:t>
      </w:r>
      <w:proofErr w:type="spellEnd"/>
      <w:r>
        <w:rPr>
          <w:rStyle w:val="ft12"/>
          <w:rFonts w:ascii="Arial" w:hAnsi="Arial" w:cs="Arial"/>
          <w:color w:val="000000"/>
          <w:sz w:val="20"/>
          <w:szCs w:val="20"/>
          <w:shd w:val="clear" w:color="auto" w:fill="BDEDFF"/>
        </w:rPr>
        <w:t xml:space="preserve"> License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BDEDFF"/>
        </w:rPr>
        <w:t>(</w:t>
      </w:r>
      <w:r>
        <w:rPr>
          <w:rFonts w:ascii="Arial" w:hAnsi="Arial" w:cs="Arial"/>
          <w:color w:val="000000"/>
          <w:sz w:val="20"/>
          <w:szCs w:val="20"/>
          <w:shd w:val="clear" w:color="auto" w:fill="BDEDFF"/>
        </w:rPr>
        <w:t>簡稱「</w:t>
      </w:r>
      <w:r>
        <w:rPr>
          <w:rStyle w:val="ft12"/>
          <w:rFonts w:ascii="Arial" w:hAnsi="Arial" w:cs="Arial"/>
          <w:color w:val="000000"/>
          <w:sz w:val="20"/>
          <w:szCs w:val="20"/>
          <w:shd w:val="clear" w:color="auto" w:fill="BDEDFF"/>
        </w:rPr>
        <w:t>CC BY SA</w:t>
      </w:r>
      <w:r>
        <w:rPr>
          <w:rFonts w:ascii="Arial" w:hAnsi="Arial" w:cs="Arial"/>
          <w:color w:val="000000"/>
          <w:sz w:val="20"/>
          <w:szCs w:val="20"/>
          <w:shd w:val="clear" w:color="auto" w:fill="BDED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BDEDFF"/>
        </w:rPr>
        <w:t>許可證」</w:t>
      </w:r>
      <w:r>
        <w:rPr>
          <w:rFonts w:ascii="Arial" w:hAnsi="Arial" w:cs="Arial"/>
          <w:color w:val="000000"/>
          <w:sz w:val="20"/>
          <w:szCs w:val="20"/>
          <w:shd w:val="clear" w:color="auto" w:fill="BDEDFF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shd w:val="clear" w:color="auto" w:fill="BDEDFF"/>
        </w:rPr>
        <w:t>之規定發布於網際網路。</w:t>
      </w:r>
    </w:p>
    <w:p w:rsidR="003F4111" w:rsidRPr="00586BF3" w:rsidRDefault="003F4111" w:rsidP="00731EB8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3F4111" w:rsidRPr="00586BF3" w:rsidSect="00F421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B2" w:rsidRDefault="004328B2" w:rsidP="00BB24D8">
      <w:r>
        <w:separator/>
      </w:r>
    </w:p>
  </w:endnote>
  <w:endnote w:type="continuationSeparator" w:id="0">
    <w:p w:rsidR="004328B2" w:rsidRDefault="004328B2" w:rsidP="00BB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B2" w:rsidRDefault="004328B2" w:rsidP="00BB24D8">
      <w:r>
        <w:separator/>
      </w:r>
    </w:p>
  </w:footnote>
  <w:footnote w:type="continuationSeparator" w:id="0">
    <w:p w:rsidR="004328B2" w:rsidRDefault="004328B2" w:rsidP="00BB2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67C9"/>
    <w:multiLevelType w:val="multilevel"/>
    <w:tmpl w:val="C21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F7F62"/>
    <w:multiLevelType w:val="multilevel"/>
    <w:tmpl w:val="38DA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A2873"/>
    <w:multiLevelType w:val="multilevel"/>
    <w:tmpl w:val="164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C647D"/>
    <w:multiLevelType w:val="multilevel"/>
    <w:tmpl w:val="A5BE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822"/>
    <w:rsid w:val="00127822"/>
    <w:rsid w:val="001D2488"/>
    <w:rsid w:val="001D3046"/>
    <w:rsid w:val="002D6988"/>
    <w:rsid w:val="003535E0"/>
    <w:rsid w:val="00377E9F"/>
    <w:rsid w:val="003F4111"/>
    <w:rsid w:val="004328B2"/>
    <w:rsid w:val="00452011"/>
    <w:rsid w:val="004D1EB3"/>
    <w:rsid w:val="005326EB"/>
    <w:rsid w:val="00586BF3"/>
    <w:rsid w:val="005D3553"/>
    <w:rsid w:val="0063556F"/>
    <w:rsid w:val="00645ADA"/>
    <w:rsid w:val="00671861"/>
    <w:rsid w:val="006F0EF4"/>
    <w:rsid w:val="00731EB8"/>
    <w:rsid w:val="00775AF5"/>
    <w:rsid w:val="00937595"/>
    <w:rsid w:val="00965C19"/>
    <w:rsid w:val="009E5D73"/>
    <w:rsid w:val="00A737E8"/>
    <w:rsid w:val="00AF613F"/>
    <w:rsid w:val="00B773CF"/>
    <w:rsid w:val="00B93596"/>
    <w:rsid w:val="00BB24D8"/>
    <w:rsid w:val="00DE616E"/>
    <w:rsid w:val="00E761A5"/>
    <w:rsid w:val="00EF0DF6"/>
    <w:rsid w:val="00F4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58"/>
    <w:pPr>
      <w:widowControl w:val="0"/>
    </w:pPr>
  </w:style>
  <w:style w:type="paragraph" w:styleId="5">
    <w:name w:val="heading 5"/>
    <w:basedOn w:val="a"/>
    <w:link w:val="50"/>
    <w:uiPriority w:val="9"/>
    <w:qFormat/>
    <w:rsid w:val="00BB24D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BB24D8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24D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24D8"/>
    <w:rPr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BB24D8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BB24D8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my-4">
    <w:name w:val="my-4"/>
    <w:basedOn w:val="a"/>
    <w:rsid w:val="00BB2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BB2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y-1">
    <w:name w:val="my-1"/>
    <w:basedOn w:val="a"/>
    <w:rsid w:val="00BB2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-1">
    <w:name w:val="mt-1"/>
    <w:basedOn w:val="a"/>
    <w:rsid w:val="00BB2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b-2">
    <w:name w:val="mb-2"/>
    <w:basedOn w:val="a"/>
    <w:rsid w:val="00BB2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2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24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F6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761A5"/>
    <w:rPr>
      <w:color w:val="0000FF" w:themeColor="hyperlink"/>
      <w:u w:val="single"/>
    </w:rPr>
  </w:style>
  <w:style w:type="character" w:customStyle="1" w:styleId="ft12">
    <w:name w:val="ft12"/>
    <w:basedOn w:val="a0"/>
    <w:rsid w:val="003F4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349">
          <w:marLeft w:val="-155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wdefense.info/trust3/quasi-ttrust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wdefense.info/trust3/threech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233</Words>
  <Characters>1329</Characters>
  <Application>Microsoft Office Word</Application>
  <DocSecurity>0</DocSecurity>
  <Lines>11</Lines>
  <Paragraphs>3</Paragraphs>
  <ScaleCrop>false</ScaleCrop>
  <Company>C.M.T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2021-02-05T08:29:00Z</cp:lastPrinted>
  <dcterms:created xsi:type="dcterms:W3CDTF">2021-02-15T02:51:00Z</dcterms:created>
  <dcterms:modified xsi:type="dcterms:W3CDTF">2021-02-28T01:34:00Z</dcterms:modified>
</cp:coreProperties>
</file>